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themeColor="text1" w:val="000000"/>
        </w:rPr>
      </w:pPr>
      <w:r>
        <w:rPr/>
        <w:drawing>
          <wp:inline distT="0" distB="0" distL="0" distR="0">
            <wp:extent cx="2517775" cy="59626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517775" cy="596265"/>
                    </a:xfrm>
                    <a:prstGeom prst="rect">
                      <a:avLst/>
                    </a:prstGeom>
                  </pic:spPr>
                </pic:pic>
              </a:graphicData>
            </a:graphic>
          </wp:inline>
        </w:drawing>
      </w:r>
    </w:p>
    <w:p>
      <w:pPr>
        <w:pStyle w:val="Normal"/>
        <w:rPr>
          <w:b/>
          <w:bCs/>
          <w:sz w:val="24"/>
          <w:szCs w:val="24"/>
        </w:rPr>
      </w:pPr>
      <w:r>
        <w:rPr>
          <w:b/>
          <w:bCs/>
          <w:sz w:val="24"/>
          <w:szCs w:val="24"/>
        </w:rPr>
      </w:r>
    </w:p>
    <w:p>
      <w:pPr>
        <w:pStyle w:val="Normal"/>
        <w:rPr>
          <w:sz w:val="24"/>
          <w:szCs w:val="24"/>
        </w:rPr>
      </w:pPr>
      <w:r>
        <w:rPr>
          <w:b/>
          <w:bCs/>
          <w:sz w:val="24"/>
          <w:szCs w:val="24"/>
        </w:rPr>
        <w:t>INTERNATIONAL TRAVEL RISK TEMPLATE</w:t>
      </w:r>
    </w:p>
    <w:p>
      <w:pPr>
        <w:pStyle w:val="Normal"/>
        <w:rPr>
          <w:sz w:val="24"/>
          <w:szCs w:val="24"/>
        </w:rPr>
      </w:pPr>
      <w:r>
        <w:rPr>
          <w:b/>
          <w:bCs/>
          <w:sz w:val="20"/>
          <w:szCs w:val="20"/>
        </w:rPr>
        <w:t xml:space="preserve">We have provided an illustrative template to fill out as necessary; please note the examples listed below are only examples – you are responsible for identifying and mitigating all risks associated with your activity. Please add other potential risk areas to the template as appropriate to your activity. </w:t>
      </w:r>
    </w:p>
    <w:p>
      <w:pPr>
        <w:pStyle w:val="Normal"/>
        <w:rPr>
          <w:color w:themeColor="text1" w:val="000000"/>
        </w:rPr>
      </w:pPr>
      <w:r>
        <w:rPr>
          <w:color w:themeColor="text1" w:val="000000"/>
        </w:rPr>
      </w:r>
    </w:p>
    <w:p>
      <w:pPr>
        <w:pStyle w:val="Normal"/>
        <w:rPr>
          <w:b/>
          <w:bCs/>
          <w:sz w:val="22"/>
          <w:szCs w:val="22"/>
        </w:rPr>
      </w:pPr>
      <w:r>
        <w:rPr>
          <w:b/>
          <w:bCs/>
          <w:sz w:val="22"/>
          <w:szCs w:val="22"/>
        </w:rPr>
        <w:t xml:space="preserve">Name: </w:t>
      </w:r>
      <w:r>
        <w:rPr>
          <w:rFonts w:ascii="Arial Unicode MS" w:hAnsi="Arial Unicode MS"/>
          <w:b/>
          <w:bCs/>
          <w:sz w:val="22"/>
          <w:szCs w:val="22"/>
        </w:rPr>
        <w:t>Joel Sarakula</w:t>
      </w:r>
      <w:r>
        <w:rPr>
          <w:rFonts w:ascii="Arial Unicode MS" w:hAnsi="Arial Unicode MS"/>
          <w:b/>
          <w:bCs/>
          <w:sz w:val="22"/>
          <w:szCs w:val="22"/>
        </w:rPr>
        <w:t xml:space="preserve">                                                       </w:t>
      </w:r>
    </w:p>
    <w:p>
      <w:pPr>
        <w:pStyle w:val="Normal"/>
        <w:rPr>
          <w:b/>
          <w:bCs/>
          <w:sz w:val="22"/>
          <w:szCs w:val="22"/>
        </w:rPr>
      </w:pPr>
      <w:r>
        <w:rPr>
          <w:rFonts w:ascii="Arial Unicode MS" w:hAnsi="Arial Unicode MS"/>
          <w:b/>
          <w:bCs/>
          <w:sz w:val="22"/>
          <w:szCs w:val="22"/>
        </w:rPr>
        <w:t>Organisation</w:t>
      </w:r>
      <w:r>
        <w:rPr>
          <w:b/>
          <w:bCs/>
          <w:sz w:val="22"/>
          <w:szCs w:val="22"/>
        </w:rPr>
        <w:t xml:space="preserve">: </w:t>
      </w:r>
      <w:r>
        <w:rPr>
          <w:b/>
          <w:bCs/>
          <w:sz w:val="22"/>
          <w:szCs w:val="22"/>
        </w:rPr>
        <w:t>Joel Sarakula</w:t>
      </w:r>
    </w:p>
    <w:p>
      <w:pPr>
        <w:pStyle w:val="Normal"/>
        <w:rPr>
          <w:b/>
          <w:bCs/>
          <w:sz w:val="22"/>
          <w:szCs w:val="22"/>
        </w:rPr>
      </w:pPr>
      <w:r>
        <w:rPr>
          <w:b/>
          <w:bCs/>
          <w:sz w:val="22"/>
          <w:szCs w:val="22"/>
        </w:rPr>
      </w:r>
    </w:p>
    <w:tbl>
      <w:tblPr>
        <w:tblW w:w="15914" w:type="dxa"/>
        <w:jc w:val="left"/>
        <w:tblInd w:w="108" w:type="dxa"/>
        <w:tblLayout w:type="fixed"/>
        <w:tblCellMar>
          <w:top w:w="80" w:type="dxa"/>
          <w:left w:w="80" w:type="dxa"/>
          <w:bottom w:w="80" w:type="dxa"/>
          <w:right w:w="80" w:type="dxa"/>
        </w:tblCellMar>
        <w:tblLook w:firstRow="1" w:noVBand="1" w:lastRow="0" w:firstColumn="1" w:lastColumn="0" w:noHBand="0" w:val="04a0"/>
      </w:tblPr>
      <w:tblGrid>
        <w:gridCol w:w="1365"/>
        <w:gridCol w:w="1930"/>
        <w:gridCol w:w="2262"/>
        <w:gridCol w:w="2261"/>
        <w:gridCol w:w="3439"/>
        <w:gridCol w:w="2865"/>
        <w:gridCol w:w="1109"/>
        <w:gridCol w:w="681"/>
      </w:tblGrid>
      <w:tr>
        <w:trPr>
          <w:tblHeader w:val="true"/>
          <w:trHeight w:val="760" w:hRule="atLeast"/>
        </w:trPr>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sz w:val="16"/>
                <w:szCs w:val="16"/>
              </w:rPr>
              <w:t>What are the risks?</w:t>
            </w:r>
          </w:p>
        </w:tc>
        <w:tc>
          <w:tcPr>
            <w:tcW w:w="19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sz w:val="16"/>
                <w:szCs w:val="16"/>
              </w:rPr>
              <w:t>Who might be impacted and how?</w:t>
            </w:r>
          </w:p>
        </w:tc>
        <w:tc>
          <w:tcPr>
            <w:tcW w:w="22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sz w:val="16"/>
                <w:szCs w:val="16"/>
              </w:rPr>
              <w:t>What is the impact of this risk? (Mild/Moderate/Severe)</w:t>
            </w:r>
          </w:p>
        </w:tc>
        <w:tc>
          <w:tcPr>
            <w:tcW w:w="22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color w:themeColor="text1" w:val="000000"/>
                <w:sz w:val="16"/>
                <w:szCs w:val="16"/>
              </w:rPr>
              <w:t>What is the likelihood of this risk? (Low/Medium/High)</w:t>
            </w:r>
          </w:p>
          <w:p>
            <w:pPr>
              <w:pStyle w:val="Normal"/>
              <w:rPr>
                <w:color w:themeColor="text1" w:val="000000"/>
                <w:sz w:val="16"/>
                <w:szCs w:val="16"/>
              </w:rPr>
            </w:pPr>
            <w:r>
              <w:rPr>
                <w:color w:themeColor="text1" w:val="000000"/>
                <w:sz w:val="16"/>
                <w:szCs w:val="16"/>
              </w:rPr>
            </w:r>
          </w:p>
        </w:tc>
        <w:tc>
          <w:tcPr>
            <w:tcW w:w="3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color w:themeColor="text1" w:val="000000"/>
                <w:sz w:val="16"/>
                <w:szCs w:val="16"/>
              </w:rPr>
              <w:t>What are you doing to manage and/or mitigate this risk?</w:t>
            </w:r>
          </w:p>
          <w:p>
            <w:pPr>
              <w:pStyle w:val="Normal"/>
              <w:rPr>
                <w:color w:themeColor="text1" w:val="000000"/>
                <w:sz w:val="16"/>
                <w:szCs w:val="16"/>
              </w:rPr>
            </w:pPr>
            <w:r>
              <w:rPr>
                <w:color w:themeColor="text1" w:val="000000"/>
                <w:sz w:val="16"/>
                <w:szCs w:val="16"/>
              </w:rPr>
            </w:r>
          </w:p>
        </w:tc>
        <w:tc>
          <w:tcPr>
            <w:tcW w:w="28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sz w:val="16"/>
                <w:szCs w:val="16"/>
              </w:rPr>
              <w:t>Action by whom?</w:t>
            </w:r>
          </w:p>
        </w:tc>
        <w:tc>
          <w:tcPr>
            <w:tcW w:w="110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sz w:val="16"/>
                <w:szCs w:val="16"/>
              </w:rPr>
              <w:t>Action by when?</w:t>
            </w:r>
          </w:p>
        </w:tc>
        <w:tc>
          <w:tcPr>
            <w:tcW w:w="6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b/>
                <w:bCs/>
                <w:sz w:val="16"/>
                <w:szCs w:val="16"/>
              </w:rPr>
              <w:t>Done</w:t>
            </w:r>
          </w:p>
        </w:tc>
      </w:tr>
      <w:tr>
        <w:trPr>
          <w:trHeight w:val="1004" w:hRule="atLeast"/>
        </w:trPr>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i/>
                <w:iCs/>
                <w:sz w:val="16"/>
                <w:szCs w:val="16"/>
              </w:rPr>
              <w:t>International border or flight issues before or during my activity</w:t>
            </w:r>
          </w:p>
        </w:tc>
        <w:tc>
          <w:tcPr>
            <w:tcW w:w="19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i/>
                <w:iCs/>
                <w:sz w:val="16"/>
                <w:szCs w:val="16"/>
              </w:rPr>
              <w:t>Only myself for my flights between UK and the EU</w:t>
            </w:r>
          </w:p>
          <w:p>
            <w:pPr>
              <w:pStyle w:val="Normal"/>
              <w:rPr>
                <w:i/>
                <w:i/>
                <w:iCs/>
              </w:rPr>
            </w:pPr>
            <w:r>
              <w:rPr>
                <w:sz w:val="16"/>
                <w:szCs w:val="16"/>
              </w:rPr>
            </w:r>
          </w:p>
          <w:p>
            <w:pPr>
              <w:pStyle w:val="Normal"/>
              <w:rPr>
                <w:sz w:val="16"/>
                <w:szCs w:val="16"/>
              </w:rPr>
            </w:pPr>
            <w:r>
              <w:rPr>
                <w:i/>
                <w:iCs/>
                <w:sz w:val="16"/>
                <w:szCs w:val="16"/>
              </w:rPr>
              <w:t>My touring bands are local to my tour starting points of Barcelona and Berlin.</w:t>
            </w:r>
          </w:p>
          <w:p>
            <w:pPr>
              <w:pStyle w:val="Normal"/>
              <w:rPr>
                <w:i/>
                <w:i/>
                <w:iCs/>
              </w:rPr>
            </w:pPr>
            <w:r>
              <w:rPr>
                <w:sz w:val="16"/>
                <w:szCs w:val="16"/>
              </w:rPr>
            </w:r>
          </w:p>
          <w:p>
            <w:pPr>
              <w:pStyle w:val="Normal"/>
              <w:rPr>
                <w:sz w:val="16"/>
                <w:szCs w:val="16"/>
              </w:rPr>
            </w:pPr>
            <w:r>
              <w:rPr>
                <w:i/>
                <w:iCs/>
                <w:sz w:val="16"/>
                <w:szCs w:val="16"/>
              </w:rPr>
              <w:t>Please note: the tours will cross EU national borders (Spain – France and Germany – NL – Austria) but because of the schengen agreement, there are NO border controls in place between these countries. Mainland EU is essentially one secured border-less zone within itself, similar to Australia.</w:t>
            </w:r>
          </w:p>
        </w:tc>
        <w:tc>
          <w:tcPr>
            <w:tcW w:w="22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i/>
                <w:iCs/>
                <w:color w:themeColor="text1" w:val="000000"/>
                <w:sz w:val="16"/>
                <w:szCs w:val="16"/>
              </w:rPr>
              <w:t>Mild</w:t>
            </w:r>
          </w:p>
        </w:tc>
        <w:tc>
          <w:tcPr>
            <w:tcW w:w="22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color w:themeColor="text1" w:val="000000"/>
                <w:sz w:val="16"/>
                <w:szCs w:val="16"/>
              </w:rPr>
              <w:t>Low.</w:t>
            </w:r>
          </w:p>
          <w:p>
            <w:pPr>
              <w:pStyle w:val="Normal"/>
              <w:rPr>
                <w:sz w:val="16"/>
                <w:szCs w:val="16"/>
              </w:rPr>
            </w:pPr>
            <w:r>
              <w:rPr>
                <w:sz w:val="16"/>
                <w:szCs w:val="16"/>
              </w:rPr>
            </w:r>
          </w:p>
          <w:p>
            <w:pPr>
              <w:pStyle w:val="Normal"/>
              <w:rPr>
                <w:sz w:val="16"/>
                <w:szCs w:val="16"/>
              </w:rPr>
            </w:pPr>
            <w:r>
              <w:rPr>
                <w:color w:themeColor="text1" w:val="000000"/>
                <w:sz w:val="16"/>
                <w:szCs w:val="16"/>
              </w:rPr>
              <w:t>Please note: UK – EU flights are considered a kind of domestic flights in Europe, serviced by many budget airlines. They are regularly travelled and serviced routes.</w:t>
            </w:r>
          </w:p>
          <w:p>
            <w:pPr>
              <w:pStyle w:val="Normal"/>
              <w:rPr>
                <w:color w:themeColor="text1" w:val="000000"/>
              </w:rPr>
            </w:pPr>
            <w:r>
              <w:rPr>
                <w:sz w:val="16"/>
                <w:szCs w:val="16"/>
              </w:rPr>
            </w:r>
          </w:p>
          <w:p>
            <w:pPr>
              <w:pStyle w:val="Normal"/>
              <w:rPr>
                <w:sz w:val="16"/>
                <w:szCs w:val="16"/>
              </w:rPr>
            </w:pPr>
            <w:r>
              <w:rPr>
                <w:color w:themeColor="text1" w:val="000000"/>
                <w:sz w:val="16"/>
                <w:szCs w:val="16"/>
              </w:rPr>
              <w:t xml:space="preserve">There are only ever a very small number of cancelled flights, even less in an off-peak month like November. </w:t>
            </w:r>
          </w:p>
          <w:p>
            <w:pPr>
              <w:pStyle w:val="Normal"/>
              <w:rPr>
                <w:color w:themeColor="text1" w:val="000000"/>
              </w:rPr>
            </w:pPr>
            <w:r>
              <w:rPr>
                <w:sz w:val="16"/>
                <w:szCs w:val="16"/>
              </w:rPr>
            </w:r>
          </w:p>
          <w:p>
            <w:pPr>
              <w:pStyle w:val="Normal"/>
              <w:rPr>
                <w:sz w:val="16"/>
                <w:szCs w:val="16"/>
              </w:rPr>
            </w:pPr>
            <w:r>
              <w:rPr>
                <w:color w:themeColor="text1" w:val="000000"/>
                <w:sz w:val="16"/>
                <w:szCs w:val="16"/>
              </w:rPr>
              <w:t>Flights are mainly cancelled due to industrial action or adverse weather.</w:t>
            </w:r>
          </w:p>
        </w:tc>
        <w:tc>
          <w:tcPr>
            <w:tcW w:w="3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i/>
                <w:iCs/>
                <w:color w:themeColor="text1" w:val="000000"/>
                <w:sz w:val="16"/>
                <w:szCs w:val="16"/>
              </w:rPr>
              <w:t>- I will arrive THREE days before the start of each show. Aside from leaving time for rehearsals and in-studios, this also leaves a large buffer zone in the extremely unlikely case of cancelled flights due to industrial action or adverse weather.</w:t>
            </w:r>
          </w:p>
          <w:p>
            <w:pPr>
              <w:pStyle w:val="Normal"/>
              <w:rPr>
                <w:sz w:val="16"/>
                <w:szCs w:val="16"/>
              </w:rPr>
            </w:pPr>
            <w:r>
              <w:rPr>
                <w:sz w:val="16"/>
                <w:szCs w:val="16"/>
              </w:rPr>
            </w:r>
          </w:p>
          <w:p>
            <w:pPr>
              <w:pStyle w:val="Normal"/>
              <w:rPr>
                <w:sz w:val="16"/>
                <w:szCs w:val="16"/>
              </w:rPr>
            </w:pPr>
            <w:r>
              <w:rPr>
                <w:i/>
                <w:iCs/>
                <w:color w:themeColor="text1" w:val="000000"/>
                <w:sz w:val="16"/>
                <w:szCs w:val="16"/>
              </w:rPr>
              <w:t>- I will follow any potential industrial action / adverse weather a week or so before the tour. In the unlikely event that my flights may be affected by adverse weather or industrial action, I can take action and book a new flight, eg. to arrive a day or two before.</w:t>
            </w:r>
          </w:p>
          <w:p>
            <w:pPr>
              <w:pStyle w:val="Normal"/>
              <w:rPr>
                <w:sz w:val="16"/>
                <w:szCs w:val="16"/>
              </w:rPr>
            </w:pPr>
            <w:r>
              <w:rPr>
                <w:sz w:val="16"/>
                <w:szCs w:val="16"/>
              </w:rPr>
            </w:r>
          </w:p>
          <w:p>
            <w:pPr>
              <w:pStyle w:val="Normal"/>
              <w:rPr>
                <w:sz w:val="16"/>
                <w:szCs w:val="16"/>
              </w:rPr>
            </w:pPr>
            <w:r>
              <w:rPr>
                <w:i/>
                <w:iCs/>
                <w:color w:themeColor="text1" w:val="000000"/>
                <w:sz w:val="16"/>
                <w:szCs w:val="16"/>
              </w:rPr>
              <w:t>I live in the UK. Flying to Germany or Spain is like flying from SYD – MEL.</w:t>
            </w:r>
          </w:p>
          <w:p>
            <w:pPr>
              <w:pStyle w:val="Normal"/>
              <w:rPr>
                <w:color w:themeColor="text1" w:val="000000"/>
                <w:sz w:val="16"/>
                <w:szCs w:val="16"/>
              </w:rPr>
            </w:pPr>
            <w:r>
              <w:rPr>
                <w:color w:themeColor="text1" w:val="000000"/>
                <w:sz w:val="16"/>
                <w:szCs w:val="16"/>
              </w:rPr>
            </w:r>
          </w:p>
          <w:p>
            <w:pPr>
              <w:pStyle w:val="Normal"/>
              <w:rPr>
                <w:sz w:val="16"/>
                <w:szCs w:val="16"/>
              </w:rPr>
            </w:pPr>
            <w:r>
              <w:rPr>
                <w:i/>
                <w:iCs/>
                <w:color w:themeColor="text1" w:val="000000"/>
                <w:sz w:val="16"/>
                <w:szCs w:val="16"/>
              </w:rPr>
              <w:t>I will have comprehensive travel insurance in place too in case I need to book new flights.</w:t>
            </w:r>
          </w:p>
          <w:p>
            <w:pPr>
              <w:pStyle w:val="Normal"/>
              <w:rPr>
                <w:rFonts w:eastAsia="Arial" w:cs="Arial"/>
                <w:i/>
                <w:i/>
                <w:iCs/>
                <w:color w:val="242424"/>
                <w:sz w:val="16"/>
                <w:szCs w:val="16"/>
              </w:rPr>
            </w:pPr>
            <w:r>
              <w:rPr>
                <w:rFonts w:eastAsia="Arial" w:cs="Arial"/>
                <w:i/>
                <w:iCs/>
                <w:color w:val="242424"/>
                <w:sz w:val="16"/>
                <w:szCs w:val="16"/>
              </w:rPr>
            </w:r>
          </w:p>
          <w:p>
            <w:pPr>
              <w:pStyle w:val="Normal"/>
              <w:rPr>
                <w:sz w:val="16"/>
                <w:szCs w:val="16"/>
              </w:rPr>
            </w:pPr>
            <w:r>
              <w:rPr>
                <w:rFonts w:eastAsia="Arial" w:cs="Arial"/>
                <w:i/>
                <w:iCs/>
                <w:color w:val="242424"/>
                <w:sz w:val="16"/>
                <w:szCs w:val="16"/>
              </w:rPr>
              <w:t>Please note I have an AUS and UK passport and a Spanish working visa allowing me full, unquestioned access to UK/EU.</w:t>
            </w:r>
          </w:p>
        </w:tc>
        <w:tc>
          <w:tcPr>
            <w:tcW w:w="28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i/>
                <w:iCs/>
                <w:sz w:val="16"/>
                <w:szCs w:val="16"/>
              </w:rPr>
              <w:t>Myself</w:t>
            </w:r>
          </w:p>
        </w:tc>
        <w:tc>
          <w:tcPr>
            <w:tcW w:w="110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sz w:val="16"/>
                <w:szCs w:val="16"/>
              </w:rPr>
            </w:r>
          </w:p>
        </w:tc>
        <w:tc>
          <w:tcPr>
            <w:tcW w:w="6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6"/>
                <w:szCs w:val="16"/>
              </w:rPr>
            </w:pPr>
            <w:r>
              <w:rPr>
                <w:sz w:val="16"/>
                <w:szCs w:val="16"/>
              </w:rPr>
            </w:r>
          </w:p>
        </w:tc>
      </w:tr>
    </w:tbl>
    <w:p>
      <w:pPr>
        <w:pStyle w:val="Normal"/>
        <w:rPr/>
      </w:pPr>
      <w:r>
        <w:rPr/>
      </w:r>
    </w:p>
    <w:p>
      <w:pPr>
        <w:pStyle w:val="Normal"/>
        <w:widowControl w:val="false"/>
        <w:rPr>
          <w:b/>
          <w:bCs/>
          <w:sz w:val="22"/>
          <w:szCs w:val="22"/>
        </w:rPr>
      </w:pPr>
      <w:r>
        <w:rPr>
          <w:b/>
          <w:bCs/>
          <w:sz w:val="22"/>
          <w:szCs w:val="22"/>
        </w:rPr>
      </w:r>
    </w:p>
    <w:p>
      <w:pPr>
        <w:pStyle w:val="Normal"/>
        <w:rPr>
          <w:b/>
          <w:bCs/>
          <w:color w:themeColor="text1" w:val="000000"/>
          <w:sz w:val="20"/>
          <w:szCs w:val="20"/>
        </w:rPr>
      </w:pPr>
      <w:r>
        <w:rPr>
          <w:b/>
          <w:bCs/>
          <w:sz w:val="20"/>
          <w:szCs w:val="20"/>
        </w:rPr>
        <w:t>You should continue to review your risk assessment leading up to and during your activity to ensure it remains current and appropriate or if you think it might no longer be valid or if there are any significant changes to your project or activity.</w:t>
      </w:r>
    </w:p>
    <w:sectPr>
      <w:headerReference w:type="even" r:id="rId3"/>
      <w:headerReference w:type="default" r:id="rId4"/>
      <w:headerReference w:type="first" r:id="rId5"/>
      <w:footerReference w:type="even" r:id="rId6"/>
      <w:footerReference w:type="default" r:id="rId7"/>
      <w:footerReference w:type="first" r:id="rId8"/>
      <w:type w:val="nextPage"/>
      <w:pgSz w:orient="landscape" w:w="16838" w:h="11906"/>
      <w:pgMar w:left="432" w:right="432" w:gutter="0" w:header="432" w:top="1728" w:footer="432" w:bottom="48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Helvetica">
    <w:altName w:val="Arial"/>
    <w:charset w:val="00"/>
    <w:family w:val="roman"/>
    <w:pitch w:val="variable"/>
  </w:font>
  <w:font w:name="Arial Unicode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AU" w:eastAsia="en-A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Arial" w:hAnsi="Arial" w:cs="Arial Unicode MS" w:eastAsia="Arial Unicode MS"/>
      <w:color w:val="000000"/>
      <w:kern w:val="0"/>
      <w:sz w:val="18"/>
      <w:szCs w:val="18"/>
      <w:u w:val="none" w:color="000000"/>
      <w:lang w:val="en-US" w:eastAsia="en-US"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annotationreference">
    <w:name w:val="annotation reference"/>
    <w:basedOn w:val="DefaultParagraphFont"/>
    <w:uiPriority w:val="99"/>
    <w:semiHidden/>
    <w:unhideWhenUsed/>
    <w:qFormat/>
    <w:rsid w:val="00026c6a"/>
    <w:rPr>
      <w:sz w:val="16"/>
      <w:szCs w:val="16"/>
    </w:rPr>
  </w:style>
  <w:style w:type="character" w:styleId="CommentTextChar" w:customStyle="1">
    <w:name w:val="Comment Text Char"/>
    <w:basedOn w:val="DefaultParagraphFont"/>
    <w:link w:val="AnnotationText"/>
    <w:uiPriority w:val="99"/>
    <w:qFormat/>
    <w:rsid w:val="00026c6a"/>
    <w:rPr>
      <w:rFonts w:ascii="Arial" w:hAnsi="Arial" w:cs="Arial Unicode MS"/>
      <w:color w:val="000000"/>
      <w:u w:val="none" w:color="000000"/>
      <w:lang w:val="en-US" w:eastAsia="en-US"/>
    </w:rPr>
  </w:style>
  <w:style w:type="character" w:styleId="CommentSubjectChar" w:customStyle="1">
    <w:name w:val="Comment Subject Char"/>
    <w:basedOn w:val="CommentTextChar"/>
    <w:link w:val="annotationsubject"/>
    <w:uiPriority w:val="99"/>
    <w:semiHidden/>
    <w:qFormat/>
    <w:rsid w:val="00026c6a"/>
    <w:rPr>
      <w:rFonts w:ascii="Arial" w:hAnsi="Arial" w:cs="Arial Unicode MS"/>
      <w:b/>
      <w:bCs/>
      <w:color w:val="000000"/>
      <w:u w:val="none" w:color="000000"/>
      <w:lang w:val="en-US" w:eastAsia="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w:hAnsi="Helvetica" w:cs="Arial Unicode MS" w:eastAsia="Arial Unicode MS"/>
      <w:color w:val="000000"/>
      <w:kern w:val="0"/>
      <w:sz w:val="24"/>
      <w:szCs w:val="24"/>
      <w:lang w:val="en-AU" w:eastAsia="en-AU" w:bidi="ar-SA"/>
    </w:rPr>
  </w:style>
  <w:style w:type="paragraph" w:styleId="Revision">
    <w:name w:val="Revision"/>
    <w:uiPriority w:val="99"/>
    <w:semiHidden/>
    <w:qFormat/>
    <w:rsid w:val="00990bbf"/>
    <w:pPr>
      <w:widowControl/>
      <w:pBdr/>
      <w:bidi w:val="0"/>
      <w:spacing w:before="0" w:after="0"/>
      <w:jc w:val="left"/>
    </w:pPr>
    <w:rPr>
      <w:rFonts w:ascii="Arial" w:hAnsi="Arial" w:cs="Arial Unicode MS" w:eastAsia="Arial Unicode MS"/>
      <w:color w:val="000000"/>
      <w:kern w:val="0"/>
      <w:sz w:val="18"/>
      <w:szCs w:val="18"/>
      <w:u w:val="none" w:color="000000"/>
      <w:lang w:val="en-US" w:eastAsia="en-US" w:bidi="ar-SA"/>
    </w:rPr>
  </w:style>
  <w:style w:type="paragraph" w:styleId="AnnotationText">
    <w:name w:val="Annotation Text"/>
    <w:basedOn w:val="Normal"/>
    <w:link w:val="CommentTextChar"/>
    <w:uiPriority w:val="99"/>
    <w:unhideWhenUsed/>
    <w:rsid w:val="00026c6a"/>
    <w:pPr/>
    <w:rPr>
      <w:sz w:val="20"/>
      <w:szCs w:val="20"/>
    </w:rPr>
  </w:style>
  <w:style w:type="paragraph" w:styleId="annotationsubject">
    <w:name w:val="annotation subject"/>
    <w:basedOn w:val="AnnotationText"/>
    <w:next w:val="AnnotationText"/>
    <w:link w:val="CommentSubjectChar"/>
    <w:uiPriority w:val="99"/>
    <w:semiHidden/>
    <w:unhideWhenUsed/>
    <w:qFormat/>
    <w:rsid w:val="00026c6a"/>
    <w:pPr/>
    <w:rPr>
      <w:b/>
      <w:bCs/>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pitchFamily="0" charset="1"/>
        <a:ea typeface="Helvetica" pitchFamily="0" charset="1"/>
        <a:cs typeface="Helvetica" pitchFamily="0" charset="1"/>
      </a:majorFont>
      <a:minorFont>
        <a:latin typeface="Helvetica" pitchFamily="0" charset="1"/>
        <a:ea typeface="Helvetica" pitchFamily="0" charset="1"/>
        <a:cs typeface="Helvetica"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solidFill>
          <a:schemeClr val="phClr"/>
        </a:solidFill>
      </a:fillStyleLst>
      <a:lnStyleLst>
        <a:ln w="9525" cap="flat" cmpd="sng" algn="ctr">
          <a:prstDash val="solid"/>
        </a:ln>
        <a:ln w="25400" cap="flat" cmpd="sng" algn="ctr">
          <a:prstDash val="solid"/>
        </a:ln>
        <a:ln w="38100" cap="flat" cmpd="sng" algn="ctr">
          <a:prstDash val="solid"/>
        </a:ln>
        <a:ln w="9525" cap="flat" cmpd="sng" algn="ctr">
          <a:prstDash val="solid"/>
        </a:ln>
      </a:lnStyleLst>
      <a:effectStyleLst>
        <a:effectStyle>
          <a:effectLst/>
        </a:effectStyle>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AC Document" ma:contentTypeID="0x010100E387570059B2A749AFEB864DE0479DFC00FC212EA860CB2241A6D255A0513710A2" ma:contentTypeVersion="3996" ma:contentTypeDescription="" ma:contentTypeScope="" ma:versionID="4bb14b2300d99f1a33f49fad3e04d885">
  <xsd:schema xmlns:xsd="http://www.w3.org/2001/XMLSchema" xmlns:xs="http://www.w3.org/2001/XMLSchema" xmlns:p="http://schemas.microsoft.com/office/2006/metadata/properties" xmlns:ns2="540dc7de-372d-481f-ad26-43c15b62b4cb" xmlns:ns3="62b98198-0f4e-4047-bbdd-a7431199b6b1" xmlns:ns4="ce89da17-503b-4042-ae06-508dae02dd32" targetNamespace="http://schemas.microsoft.com/office/2006/metadata/properties" ma:root="true" ma:fieldsID="f67389e00bc1e45a9f7499e613704a90" ns2:_="" ns3:_="" ns4:_="">
    <xsd:import namespace="540dc7de-372d-481f-ad26-43c15b62b4cb"/>
    <xsd:import namespace="62b98198-0f4e-4047-bbdd-a7431199b6b1"/>
    <xsd:import namespace="ce89da17-503b-4042-ae06-508dae02dd32"/>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7418faa-0aff-48c7-b0ec-452c9cca90ba}" ma:internalName="TaxCatchAll" ma:showField="CatchAllData" ma:web="ce89da17-503b-4042-ae06-508dae02dd3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7418faa-0aff-48c7-b0ec-452c9cca90ba}" ma:internalName="TaxCatchAllLabel" ma:readOnly="true" ma:showField="CatchAllDataLabel" ma:web="ce89da17-503b-4042-ae06-508dae02dd3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default=""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ma:readOnly="false">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4-25"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enumeration value="2023-24"/>
          <xsd:enumeration value="2024-25"/>
          <xsd:enumeration value="2025-26"/>
        </xsd:restriction>
      </xsd:simpleType>
    </xsd:element>
    <xsd:element name="Year" ma:index="17" nillable="true" ma:displayName="Year" ma:default="2024" ma:description="System defaulted to allow grouping of information by year. Also used for archiving" ma:format="Dropdown" ma:internalName="Year">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union memberTypes="dms:Text">
          <xsd:simpleType>
            <xsd:restriction base="dms:Choice">
              <xsd:enumeration value="CPA"/>
              <xsd:enumeration value="Share Drive"/>
              <xsd:enumeration value="SP 2013"/>
              <xsd:enumeration value="RM 8"/>
              <xsd:enumeration value="GMS"/>
              <xsd:enumeration value="Fluxx"/>
              <xsd:enumeration value="CPA"/>
            </xsd:restriction>
          </xsd:simpleType>
        </xsd:un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readOnly="false"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98198-0f4e-4047-bbdd-a7431199b6b1"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internalName="MediaServiceKeyPoints" ma:readOnly="true">
      <xsd:simpleType>
        <xsd:restriction base="dms:Note">
          <xsd:maxLength value="255"/>
        </xsd:restriction>
      </xsd:simpleType>
    </xsd:element>
    <xsd:element name="MediaServiceObjectDetectorVersions" ma:index="72" nillable="true" ma:displayName="MediaServiceObjectDetectorVersions" ma:hidden="true" ma:indexed="true" ma:internalName="MediaServiceObjectDetectorVersions" ma:readOnly="true">
      <xsd:simpleType>
        <xsd:restriction base="dms:Text"/>
      </xsd:simpleType>
    </xsd:element>
    <xsd:element name="MediaServiceSearchProperties" ma:index="7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9da17-503b-4042-ae06-508dae02dd32" elementFormDefault="qualified">
    <xsd:import namespace="http://schemas.microsoft.com/office/2006/documentManagement/types"/>
    <xsd:import namespace="http://schemas.microsoft.com/office/infopath/2007/PartnerControls"/>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Official</SecClass>
    <EmFromName xmlns="540dc7de-372d-481f-ad26-43c15b62b4cb" xsi:nil="true"/>
    <e13f7c6e125846ca9e5165876eaa1b30 xmlns="540dc7de-372d-481f-ad26-43c15b62b4cb">
      <Terms xmlns="http://schemas.microsoft.com/office/infopath/2007/PartnerControls">
        <TermInfo>
          <TermName>Funding program design (21833)</TermName>
          <TermId>6f7b0d56-599a-422b-b239-31dd9084a1ad</TermId>
        </TermInfo>
      </Terms>
    </e13f7c6e125846ca9e5165876eaa1b30>
    <Document_x0020_Control_x0020_Symbol xmlns="540dc7de-372d-481f-ad26-43c15b62b4cb" xsi:nil="true"/>
    <Year xmlns="540dc7de-372d-481f-ad26-43c15b62b4cb">2021</Year>
    <VitalRecord xmlns="540dc7de-372d-481f-ad26-43c15b62b4cb">false</VitalRecord>
    <EmDate xmlns="540dc7de-372d-481f-ad26-43c15b62b4cb" xsi:nil="true"/>
    <e4333ceccd3549b09b2ba984de9ce1ed xmlns="540dc7de-372d-481f-ad26-43c15b62b4cb">
      <Terms xmlns="http://schemas.microsoft.com/office/infopath/2007/PartnerControls"/>
    </e4333ceccd3549b09b2ba984de9ce1ed>
    <Nextrevdate xmlns="540dc7de-372d-481f-ad26-43c15b62b4cb" xsi:nil="true"/>
    <EmCC xmlns="540dc7de-372d-481f-ad26-43c15b62b4cb" xsi:nil="true"/>
    <FinYear xmlns="540dc7de-372d-481f-ad26-43c15b62b4cb">2021-22</FinYear>
    <eae731ec622d40fa98d8668e6740f701 xmlns="540dc7de-372d-481f-ad26-43c15b62b4cb">
      <Terms xmlns="http://schemas.microsoft.com/office/infopath/2007/PartnerControls"/>
    </eae731ec622d40fa98d8668e6740f701>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axCatchAll xmlns="540dc7de-372d-481f-ad26-43c15b62b4cb">
      <Value>26</Value>
      <Value>13</Value>
    </TaxCatchAll>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n2836933787a47b8b70e28960c3403f2 xmlns="540dc7de-372d-481f-ad26-43c15b62b4cb">
      <Terms xmlns="http://schemas.microsoft.com/office/infopath/2007/PartnerControls"/>
    </n2836933787a47b8b70e28960c3403f2>
    <CreateName xmlns="540dc7de-372d-481f-ad26-43c15b62b4cb" xsi:nil="true"/>
    <facdae73cba2495d94230e7af94e68b0 xmlns="540dc7de-372d-481f-ad26-43c15b62b4cb">
      <Terms xmlns="http://schemas.microsoft.com/office/infopath/2007/PartnerControls"/>
    </facdae73cba2495d94230e7af94e68b0>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_dlc_DocId xmlns="540dc7de-372d-481f-ad26-43c15b62b4cb">ACIDPMPDA-137761483-3709</_dlc_DocId>
    <_dlc_DocIdUrl xmlns="540dc7de-372d-481f-ad26-43c15b62b4cb">
      <Url>https://australiacouncil.sharepoint.com/sites/IDPMPDA/_layouts/15/DocIdRedir.aspx?ID=ACIDPMPDA-137761483-3709</Url>
      <Description>ACIDPMPDA-137761483-3709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47c72d7-14fc-40b8-9757-68ac2fd8ae9a" ContentTypeId="0x010100E387570059B2A749AFEB864DE0479DFC" PreviousValue="false"/>
</file>

<file path=customXml/itemProps1.xml><?xml version="1.0" encoding="utf-8"?>
<ds:datastoreItem xmlns:ds="http://schemas.openxmlformats.org/officeDocument/2006/customXml" ds:itemID="{CFD33FCF-A824-42A8-8B9D-2903FE95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62b98198-0f4e-4047-bbdd-a7431199b6b1"/>
    <ds:schemaRef ds:uri="ce89da17-503b-4042-ae06-508dae02d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8DB22-BD77-49A1-A816-A0209285674A}">
  <ds:schemaRefs>
    <ds:schemaRef ds:uri="http://schemas.microsoft.com/office/2006/metadata/properties"/>
    <ds:schemaRef ds:uri="http://schemas.microsoft.com/office/infopath/2007/PartnerControls"/>
    <ds:schemaRef ds:uri="540dc7de-372d-481f-ad26-43c15b62b4cb"/>
  </ds:schemaRefs>
</ds:datastoreItem>
</file>

<file path=customXml/itemProps3.xml><?xml version="1.0" encoding="utf-8"?>
<ds:datastoreItem xmlns:ds="http://schemas.openxmlformats.org/officeDocument/2006/customXml" ds:itemID="{5FF8259E-437B-48E7-9C04-DD02A5D9D134}">
  <ds:schemaRefs>
    <ds:schemaRef ds:uri="http://schemas.microsoft.com/sharepoint/v3/contenttype/forms"/>
  </ds:schemaRefs>
</ds:datastoreItem>
</file>

<file path=customXml/itemProps4.xml><?xml version="1.0" encoding="utf-8"?>
<ds:datastoreItem xmlns:ds="http://schemas.openxmlformats.org/officeDocument/2006/customXml" ds:itemID="{19E42707-A4A4-411D-8154-0CE97D5F79A6}">
  <ds:schemaRefs>
    <ds:schemaRef ds:uri="http://schemas.microsoft.com/sharepoint/events"/>
  </ds:schemaRefs>
</ds:datastoreItem>
</file>

<file path=customXml/itemProps5.xml><?xml version="1.0" encoding="utf-8"?>
<ds:datastoreItem xmlns:ds="http://schemas.openxmlformats.org/officeDocument/2006/customXml" ds:itemID="{FD6848A8-5CA7-4CD6-8981-38DF3C8080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LibreOffice/24.2.5.2$Windows_X86_64 LibreOffice_project/bffef4ea93e59bebbeaf7f431bb02b1a39ee8a59</Application>
  <AppVersion>15.0000</AppVersion>
  <Pages>1</Pages>
  <Words>428</Words>
  <Characters>2109</Characters>
  <CharactersWithSpaces>2572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2023-12-12T23:49:00Z</dcterms:created>
  <dc:creator/>
  <dc:description/>
  <dc:language>en-GB</dc:language>
  <cp:lastModifiedBy/>
  <dcterms:modified xsi:type="dcterms:W3CDTF">2025-07-08T21:38:43Z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 Function">
    <vt:lpwstr>26;#Arts Funding Program Development|c48ebb46-da2b-436d-83ca-3f4ff50a1b8b</vt:lpwstr>
  </property>
  <property fmtid="{D5CDD505-2E9C-101B-9397-08002B2CF9AE}" pid="3" name="BusUnit">
    <vt:lpwstr/>
  </property>
  <property fmtid="{D5CDD505-2E9C-101B-9397-08002B2CF9AE}" pid="4" name="ContentTypeId">
    <vt:lpwstr>0x010100E387570059B2A749AFEB864DE0479DFC00FC212EA860CB2241A6D255A0513710A2</vt:lpwstr>
  </property>
  <property fmtid="{D5CDD505-2E9C-101B-9397-08002B2CF9AE}" pid="5" name="DisposalClass">
    <vt:lpwstr>13;#Funding program design (21833)|6f7b0d56-599a-422b-b239-31dd9084a1ad</vt:lpwstr>
  </property>
  <property fmtid="{D5CDD505-2E9C-101B-9397-08002B2CF9AE}" pid="6" name="DocType">
    <vt:lpwstr/>
  </property>
  <property fmtid="{D5CDD505-2E9C-101B-9397-08002B2CF9AE}" pid="7" name="HelpTopic">
    <vt:lpwstr/>
  </property>
  <property fmtid="{D5CDD505-2E9C-101B-9397-08002B2CF9AE}" pid="8" name="MSIP_Label_052f1c6a-fbf1-42aa-8e7a-bc99adb0e707_ActionId">
    <vt:lpwstr>85688040-5dc3-4269-bc00-8ea0eadc6868</vt:lpwstr>
  </property>
  <property fmtid="{D5CDD505-2E9C-101B-9397-08002B2CF9AE}" pid="9" name="MSIP_Label_052f1c6a-fbf1-42aa-8e7a-bc99adb0e707_ContentBits">
    <vt:lpwstr>0</vt:lpwstr>
  </property>
  <property fmtid="{D5CDD505-2E9C-101B-9397-08002B2CF9AE}" pid="10" name="MSIP_Label_052f1c6a-fbf1-42aa-8e7a-bc99adb0e707_Enabled">
    <vt:lpwstr>true</vt:lpwstr>
  </property>
  <property fmtid="{D5CDD505-2E9C-101B-9397-08002B2CF9AE}" pid="11" name="MSIP_Label_052f1c6a-fbf1-42aa-8e7a-bc99adb0e707_Method">
    <vt:lpwstr>Standard</vt:lpwstr>
  </property>
  <property fmtid="{D5CDD505-2E9C-101B-9397-08002B2CF9AE}" pid="12" name="MSIP_Label_052f1c6a-fbf1-42aa-8e7a-bc99adb0e707_Name">
    <vt:lpwstr>Official</vt:lpwstr>
  </property>
  <property fmtid="{D5CDD505-2E9C-101B-9397-08002B2CF9AE}" pid="13" name="MSIP_Label_052f1c6a-fbf1-42aa-8e7a-bc99adb0e707_SetDate">
    <vt:lpwstr>2022-02-16T22:05:38Z</vt:lpwstr>
  </property>
  <property fmtid="{D5CDD505-2E9C-101B-9397-08002B2CF9AE}" pid="14" name="MSIP_Label_052f1c6a-fbf1-42aa-8e7a-bc99adb0e707_SiteId">
    <vt:lpwstr>0cb09623-aeaf-4018-a223-80d95a375884</vt:lpwstr>
  </property>
  <property fmtid="{D5CDD505-2E9C-101B-9397-08002B2CF9AE}" pid="15" name="Topic">
    <vt:lpwstr/>
  </property>
  <property fmtid="{D5CDD505-2E9C-101B-9397-08002B2CF9AE}" pid="16" name="_dlc_DocIdItemGuid">
    <vt:lpwstr>7558d61c-8d0d-4498-b610-3d3b8defb97c</vt:lpwstr>
  </property>
  <property fmtid="{D5CDD505-2E9C-101B-9397-08002B2CF9AE}" pid="17" name="jf9db096445547c398370b81b1ab2638">
    <vt:lpwstr>Arts Funding Program Development|c48ebb46-da2b-436d-83ca-3f4ff50a1b8b</vt:lpwstr>
  </property>
</Properties>
</file>